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448"/>
        <w:gridCol w:w="2906"/>
      </w:tblGrid>
      <w:tr w:rsidR="004B6E18" w:rsidRPr="00306C20" w:rsidTr="00947551">
        <w:trPr>
          <w:tblCellSpacing w:w="15" w:type="dxa"/>
        </w:trPr>
        <w:tc>
          <w:tcPr>
            <w:tcW w:w="0" w:type="auto"/>
            <w:shd w:val="clear" w:color="auto" w:fill="990000"/>
            <w:vAlign w:val="center"/>
            <w:hideMark/>
          </w:tcPr>
          <w:p w:rsidR="004B6E18" w:rsidRPr="00306C20" w:rsidRDefault="004B6E18" w:rsidP="004B6E18">
            <w:pPr>
              <w:spacing w:after="0"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t xml:space="preserve">métronidazole </w:t>
            </w:r>
          </w:p>
        </w:tc>
        <w:tc>
          <w:tcPr>
            <w:tcW w:w="0" w:type="auto"/>
            <w:vAlign w:val="center"/>
            <w:hideMark/>
          </w:tcPr>
          <w:p w:rsidR="004B6E18" w:rsidRPr="00306C20" w:rsidRDefault="004B6E18" w:rsidP="00947551">
            <w:pPr>
              <w:spacing w:after="0" w:line="240" w:lineRule="auto"/>
              <w:rPr>
                <w:rFonts w:ascii="Times New Roman" w:eastAsia="Times New Roman" w:hAnsi="Times New Roman" w:cs="Times New Roman"/>
                <w:color w:val="000000"/>
                <w:sz w:val="24"/>
                <w:szCs w:val="24"/>
                <w:lang w:eastAsia="fr-FR"/>
              </w:rPr>
            </w:pPr>
            <w:r w:rsidRPr="00306C20">
              <w:rPr>
                <w:rFonts w:ascii="Verdana" w:eastAsia="Times New Roman" w:hAnsi="Verdana" w:cs="Times New Roman"/>
                <w:b/>
                <w:bCs/>
                <w:color w:val="990000"/>
                <w:sz w:val="24"/>
                <w:szCs w:val="24"/>
                <w:lang w:eastAsia="fr-FR"/>
              </w:rPr>
              <w:t>PHARMACODYNAMIE</w:t>
            </w:r>
            <w:r w:rsidRPr="00306C20">
              <w:rPr>
                <w:rFonts w:ascii="Times New Roman" w:eastAsia="Times New Roman" w:hAnsi="Times New Roman" w:cs="Times New Roman"/>
                <w:color w:val="000000"/>
                <w:sz w:val="24"/>
                <w:szCs w:val="24"/>
                <w:lang w:eastAsia="fr-FR"/>
              </w:rPr>
              <w:t xml:space="preserve"> </w:t>
            </w:r>
          </w:p>
        </w:tc>
      </w:tr>
    </w:tbl>
    <w:p w:rsidR="004B6E18" w:rsidRPr="00306C20" w:rsidRDefault="004B6E18" w:rsidP="004B6E1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b/>
          <w:bCs/>
          <w:color w:val="000000"/>
          <w:sz w:val="24"/>
          <w:szCs w:val="24"/>
          <w:lang w:eastAsia="fr-FR"/>
        </w:rPr>
        <w:t>PREPARATION STOMATOLOGIQUE</w:t>
      </w:r>
      <w:r w:rsidRPr="00306C20">
        <w:rPr>
          <w:rFonts w:ascii="Times New Roman" w:eastAsia="Times New Roman" w:hAnsi="Times New Roman" w:cs="Times New Roman"/>
          <w:color w:val="000000"/>
          <w:sz w:val="24"/>
          <w:szCs w:val="24"/>
          <w:lang w:eastAsia="fr-FR"/>
        </w:rPr>
        <w:t xml:space="preserve">. </w:t>
      </w:r>
    </w:p>
    <w:p w:rsidR="004B6E18" w:rsidRPr="00306C20" w:rsidRDefault="004B6E18" w:rsidP="004B6E1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t>(</w:t>
      </w:r>
      <w:r w:rsidRPr="00306C20">
        <w:rPr>
          <w:rFonts w:ascii="Times New Roman" w:eastAsia="Times New Roman" w:hAnsi="Times New Roman" w:cs="Times New Roman"/>
          <w:b/>
          <w:bCs/>
          <w:color w:val="000000"/>
          <w:sz w:val="24"/>
          <w:szCs w:val="24"/>
          <w:lang w:eastAsia="fr-FR"/>
        </w:rPr>
        <w:t>A: appareil digestif et métabolisme</w:t>
      </w:r>
      <w:r w:rsidRPr="00306C20">
        <w:rPr>
          <w:rFonts w:ascii="Times New Roman" w:eastAsia="Times New Roman" w:hAnsi="Times New Roman" w:cs="Times New Roman"/>
          <w:color w:val="000000"/>
          <w:sz w:val="24"/>
          <w:szCs w:val="24"/>
          <w:lang w:eastAsia="fr-FR"/>
        </w:rPr>
        <w:t xml:space="preserve">) </w:t>
      </w:r>
    </w:p>
    <w:p w:rsidR="004B6E18" w:rsidRPr="00306C20" w:rsidRDefault="004B6E18" w:rsidP="004B6E1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t xml:space="preserve">Le </w:t>
      </w:r>
      <w:proofErr w:type="spellStart"/>
      <w:r w:rsidRPr="00306C20">
        <w:rPr>
          <w:rFonts w:ascii="Times New Roman" w:eastAsia="Times New Roman" w:hAnsi="Times New Roman" w:cs="Times New Roman"/>
          <w:color w:val="000000"/>
          <w:sz w:val="24"/>
          <w:szCs w:val="24"/>
          <w:lang w:eastAsia="fr-FR"/>
        </w:rPr>
        <w:t>métronidazole</w:t>
      </w:r>
      <w:proofErr w:type="spellEnd"/>
      <w:r w:rsidRPr="00306C20">
        <w:rPr>
          <w:rFonts w:ascii="Times New Roman" w:eastAsia="Times New Roman" w:hAnsi="Times New Roman" w:cs="Times New Roman"/>
          <w:color w:val="000000"/>
          <w:sz w:val="24"/>
          <w:szCs w:val="24"/>
          <w:lang w:eastAsia="fr-FR"/>
        </w:rPr>
        <w:t xml:space="preserve"> est un antimicrobien dérivé de l'imidazole, présentant une action sur les germes anaérobies. </w:t>
      </w:r>
    </w:p>
    <w:p w:rsidR="004B6E18" w:rsidRPr="00306C20" w:rsidRDefault="004B6E18" w:rsidP="004B6E1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t xml:space="preserve">SPECTRE D'ACTIVITE ANTI-MICROBIENNE </w:t>
      </w:r>
    </w:p>
    <w:p w:rsidR="004B6E18" w:rsidRPr="00306C20" w:rsidRDefault="004B6E18" w:rsidP="004B6E18">
      <w:pPr>
        <w:spacing w:before="240" w:after="100" w:afterAutospacing="1"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t xml:space="preserve">Les concentrations critiques séparent les souches sensibles des souches de sensibilité intermédiaire et ces dernières, des résistantes : </w:t>
      </w:r>
    </w:p>
    <w:p w:rsidR="004B6E18" w:rsidRPr="00306C20" w:rsidRDefault="004B6E18" w:rsidP="004B6E18">
      <w:pPr>
        <w:spacing w:before="100" w:beforeAutospacing="1" w:after="240"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t xml:space="preserve">S ≤ 4 mg/l et R &gt; 4 mg/l </w:t>
      </w:r>
    </w:p>
    <w:p w:rsidR="004B6E18" w:rsidRPr="00306C20" w:rsidRDefault="004B6E18" w:rsidP="004B6E18">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t xml:space="preserve">La prévalence de la résistance acquise peut varier en fonction de la géographie et du temps pour certaines espèces. Il est donc utile de disposer d'informations sur la prévalence de la résistance locale, surtout pour le traitement d'infections sévères. Ces données ne peuvent apporter qu'une orientation sur les probabilités de la sensibilité d'une souche bactérienne à cet antibiotique. </w:t>
      </w:r>
    </w:p>
    <w:p w:rsidR="004B6E18" w:rsidRPr="00306C20" w:rsidRDefault="004B6E18" w:rsidP="004B6E18">
      <w:pPr>
        <w:spacing w:before="100" w:beforeAutospacing="1" w:after="240"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t xml:space="preserve">Lorsque la variabilité de la prévalence de la résistance en France est connue pour une espèce bactérienne, elle est indiquée dans le tableau ci-dessous : </w:t>
      </w:r>
    </w:p>
    <w:tbl>
      <w:tblPr>
        <w:tblW w:w="9072" w:type="dxa"/>
        <w:jc w:val="center"/>
        <w:tblCellSpacing w:w="0" w:type="dxa"/>
        <w:tblCellMar>
          <w:left w:w="0" w:type="dxa"/>
          <w:right w:w="0" w:type="dxa"/>
        </w:tblCellMar>
        <w:tblLook w:val="04A0"/>
      </w:tblPr>
      <w:tblGrid>
        <w:gridCol w:w="4560"/>
        <w:gridCol w:w="4512"/>
      </w:tblGrid>
      <w:tr w:rsidR="004B6E18" w:rsidRPr="00306C20" w:rsidTr="00947551">
        <w:trPr>
          <w:tblCellSpacing w:w="0" w:type="dxa"/>
          <w:jc w:val="center"/>
        </w:trPr>
        <w:tc>
          <w:tcPr>
            <w:tcW w:w="4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1" w:type="dxa"/>
              <w:bottom w:w="0" w:type="dxa"/>
              <w:right w:w="111"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t xml:space="preserve">Catégories </w:t>
            </w:r>
          </w:p>
        </w:tc>
        <w:tc>
          <w:tcPr>
            <w:tcW w:w="4512" w:type="dxa"/>
            <w:tcBorders>
              <w:top w:val="single" w:sz="8" w:space="0" w:color="000000"/>
              <w:left w:val="single" w:sz="8" w:space="0" w:color="000000"/>
              <w:bottom w:val="single" w:sz="8" w:space="0" w:color="000000"/>
              <w:right w:val="single" w:sz="8" w:space="0" w:color="000000"/>
            </w:tcBorders>
            <w:tcMar>
              <w:top w:w="0" w:type="dxa"/>
              <w:left w:w="111" w:type="dxa"/>
              <w:bottom w:w="0" w:type="dxa"/>
              <w:right w:w="111"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t xml:space="preserve">Fréquence de résistance acquise en France (&gt; 10%) (valeurs extrêmes) </w:t>
            </w: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t xml:space="preserve">ESPÈCES SENSIBLES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t xml:space="preserve">Aérobies à Gram négatif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306C20">
              <w:rPr>
                <w:rFonts w:ascii="Times New Roman" w:eastAsia="Times New Roman" w:hAnsi="Times New Roman" w:cs="Times New Roman"/>
                <w:color w:val="000000"/>
                <w:sz w:val="24"/>
                <w:szCs w:val="24"/>
                <w:lang w:eastAsia="fr-FR"/>
              </w:rPr>
              <w:t>Helicobacter</w:t>
            </w:r>
            <w:proofErr w:type="spellEnd"/>
            <w:r w:rsidRPr="00306C20">
              <w:rPr>
                <w:rFonts w:ascii="Times New Roman" w:eastAsia="Times New Roman" w:hAnsi="Times New Roman" w:cs="Times New Roman"/>
                <w:color w:val="000000"/>
                <w:sz w:val="24"/>
                <w:szCs w:val="24"/>
                <w:lang w:eastAsia="fr-FR"/>
              </w:rPr>
              <w:t xml:space="preserve"> </w:t>
            </w:r>
            <w:proofErr w:type="spellStart"/>
            <w:r w:rsidRPr="00306C20">
              <w:rPr>
                <w:rFonts w:ascii="Times New Roman" w:eastAsia="Times New Roman" w:hAnsi="Times New Roman" w:cs="Times New Roman"/>
                <w:color w:val="000000"/>
                <w:sz w:val="24"/>
                <w:szCs w:val="24"/>
                <w:lang w:eastAsia="fr-FR"/>
              </w:rPr>
              <w:t>pylori</w:t>
            </w:r>
            <w:proofErr w:type="spellEnd"/>
            <w:r w:rsidRPr="00306C20">
              <w:rPr>
                <w:rFonts w:ascii="Times New Roman" w:eastAsia="Times New Roman" w:hAnsi="Times New Roman" w:cs="Times New Roman"/>
                <w:color w:val="000000"/>
                <w:sz w:val="24"/>
                <w:szCs w:val="24"/>
                <w:lang w:eastAsia="fr-FR"/>
              </w:rPr>
              <w:t xml:space="preserve"> </w:t>
            </w:r>
          </w:p>
        </w:tc>
        <w:tc>
          <w:tcPr>
            <w:tcW w:w="4512" w:type="dxa"/>
            <w:tcBorders>
              <w:top w:val="nil"/>
              <w:left w:val="nil"/>
              <w:bottom w:val="nil"/>
              <w:right w:val="nil"/>
            </w:tcBorders>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t xml:space="preserve">30 % </w:t>
            </w: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t xml:space="preserve">Anaérobies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306C20">
              <w:rPr>
                <w:rFonts w:ascii="Times New Roman" w:eastAsia="Times New Roman" w:hAnsi="Times New Roman" w:cs="Times New Roman"/>
                <w:color w:val="000000"/>
                <w:sz w:val="24"/>
                <w:szCs w:val="24"/>
                <w:lang w:eastAsia="fr-FR"/>
              </w:rPr>
              <w:t>Bacteroides</w:t>
            </w:r>
            <w:proofErr w:type="spellEnd"/>
            <w:r w:rsidRPr="00306C20">
              <w:rPr>
                <w:rFonts w:ascii="Times New Roman" w:eastAsia="Times New Roman" w:hAnsi="Times New Roman" w:cs="Times New Roman"/>
                <w:color w:val="000000"/>
                <w:sz w:val="24"/>
                <w:szCs w:val="24"/>
                <w:lang w:eastAsia="fr-FR"/>
              </w:rPr>
              <w:t xml:space="preserve"> </w:t>
            </w:r>
            <w:proofErr w:type="spellStart"/>
            <w:r w:rsidRPr="00306C20">
              <w:rPr>
                <w:rFonts w:ascii="Times New Roman" w:eastAsia="Times New Roman" w:hAnsi="Times New Roman" w:cs="Times New Roman"/>
                <w:color w:val="000000"/>
                <w:sz w:val="24"/>
                <w:szCs w:val="24"/>
                <w:lang w:eastAsia="fr-FR"/>
              </w:rPr>
              <w:t>fragilis</w:t>
            </w:r>
            <w:proofErr w:type="spellEnd"/>
            <w:r w:rsidRPr="00306C20">
              <w:rPr>
                <w:rFonts w:ascii="Times New Roman" w:eastAsia="Times New Roman" w:hAnsi="Times New Roman" w:cs="Times New Roman"/>
                <w:color w:val="000000"/>
                <w:sz w:val="24"/>
                <w:szCs w:val="24"/>
                <w:lang w:eastAsia="fr-FR"/>
              </w:rPr>
              <w:t xml:space="preserve">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306C20">
              <w:rPr>
                <w:rFonts w:ascii="Times New Roman" w:eastAsia="Times New Roman" w:hAnsi="Times New Roman" w:cs="Times New Roman"/>
                <w:color w:val="000000"/>
                <w:sz w:val="24"/>
                <w:szCs w:val="24"/>
                <w:lang w:eastAsia="fr-FR"/>
              </w:rPr>
              <w:t>Bifidobacterium</w:t>
            </w:r>
            <w:proofErr w:type="spellEnd"/>
            <w:r w:rsidRPr="00306C20">
              <w:rPr>
                <w:rFonts w:ascii="Times New Roman" w:eastAsia="Times New Roman" w:hAnsi="Times New Roman" w:cs="Times New Roman"/>
                <w:color w:val="000000"/>
                <w:sz w:val="24"/>
                <w:szCs w:val="24"/>
                <w:lang w:eastAsia="fr-FR"/>
              </w:rPr>
              <w:t xml:space="preserve"> </w:t>
            </w:r>
          </w:p>
        </w:tc>
        <w:tc>
          <w:tcPr>
            <w:tcW w:w="4512" w:type="dxa"/>
            <w:tcBorders>
              <w:top w:val="nil"/>
              <w:left w:val="nil"/>
              <w:bottom w:val="nil"/>
              <w:right w:val="nil"/>
            </w:tcBorders>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t xml:space="preserve">60 - 70 % </w:t>
            </w: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306C20">
              <w:rPr>
                <w:rFonts w:ascii="Times New Roman" w:eastAsia="Times New Roman" w:hAnsi="Times New Roman" w:cs="Times New Roman"/>
                <w:color w:val="000000"/>
                <w:sz w:val="24"/>
                <w:szCs w:val="24"/>
                <w:lang w:eastAsia="fr-FR"/>
              </w:rPr>
              <w:t>Bilophila</w:t>
            </w:r>
            <w:proofErr w:type="spellEnd"/>
            <w:r w:rsidRPr="00306C20">
              <w:rPr>
                <w:rFonts w:ascii="Times New Roman" w:eastAsia="Times New Roman" w:hAnsi="Times New Roman" w:cs="Times New Roman"/>
                <w:color w:val="000000"/>
                <w:sz w:val="24"/>
                <w:szCs w:val="24"/>
                <w:lang w:eastAsia="fr-FR"/>
              </w:rPr>
              <w:t xml:space="preserve">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306C20">
              <w:rPr>
                <w:rFonts w:ascii="Times New Roman" w:eastAsia="Times New Roman" w:hAnsi="Times New Roman" w:cs="Times New Roman"/>
                <w:color w:val="000000"/>
                <w:sz w:val="24"/>
                <w:szCs w:val="24"/>
                <w:lang w:eastAsia="fr-FR"/>
              </w:rPr>
              <w:t>Clostridium</w:t>
            </w:r>
            <w:proofErr w:type="spellEnd"/>
            <w:r w:rsidRPr="00306C20">
              <w:rPr>
                <w:rFonts w:ascii="Times New Roman" w:eastAsia="Times New Roman" w:hAnsi="Times New Roman" w:cs="Times New Roman"/>
                <w:color w:val="000000"/>
                <w:sz w:val="24"/>
                <w:szCs w:val="24"/>
                <w:lang w:eastAsia="fr-FR"/>
              </w:rPr>
              <w:t xml:space="preserve">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306C20">
              <w:rPr>
                <w:rFonts w:ascii="Times New Roman" w:eastAsia="Times New Roman" w:hAnsi="Times New Roman" w:cs="Times New Roman"/>
                <w:color w:val="000000"/>
                <w:sz w:val="24"/>
                <w:szCs w:val="24"/>
                <w:lang w:eastAsia="fr-FR"/>
              </w:rPr>
              <w:t>Clostridium</w:t>
            </w:r>
            <w:proofErr w:type="spellEnd"/>
            <w:r w:rsidRPr="00306C20">
              <w:rPr>
                <w:rFonts w:ascii="Times New Roman" w:eastAsia="Times New Roman" w:hAnsi="Times New Roman" w:cs="Times New Roman"/>
                <w:color w:val="000000"/>
                <w:sz w:val="24"/>
                <w:szCs w:val="24"/>
                <w:lang w:eastAsia="fr-FR"/>
              </w:rPr>
              <w:t xml:space="preserve"> difficile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306C20">
              <w:rPr>
                <w:rFonts w:ascii="Times New Roman" w:eastAsia="Times New Roman" w:hAnsi="Times New Roman" w:cs="Times New Roman"/>
                <w:color w:val="000000"/>
                <w:sz w:val="24"/>
                <w:szCs w:val="24"/>
                <w:lang w:eastAsia="fr-FR"/>
              </w:rPr>
              <w:t>Clostridium</w:t>
            </w:r>
            <w:proofErr w:type="spellEnd"/>
            <w:r w:rsidRPr="00306C20">
              <w:rPr>
                <w:rFonts w:ascii="Times New Roman" w:eastAsia="Times New Roman" w:hAnsi="Times New Roman" w:cs="Times New Roman"/>
                <w:color w:val="000000"/>
                <w:sz w:val="24"/>
                <w:szCs w:val="24"/>
                <w:lang w:eastAsia="fr-FR"/>
              </w:rPr>
              <w:t xml:space="preserve"> perfringens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306C20">
              <w:rPr>
                <w:rFonts w:ascii="Times New Roman" w:eastAsia="Times New Roman" w:hAnsi="Times New Roman" w:cs="Times New Roman"/>
                <w:color w:val="000000"/>
                <w:sz w:val="24"/>
                <w:szCs w:val="24"/>
                <w:lang w:eastAsia="fr-FR"/>
              </w:rPr>
              <w:t>Eubacterium</w:t>
            </w:r>
            <w:proofErr w:type="spellEnd"/>
            <w:r w:rsidRPr="00306C20">
              <w:rPr>
                <w:rFonts w:ascii="Times New Roman" w:eastAsia="Times New Roman" w:hAnsi="Times New Roman" w:cs="Times New Roman"/>
                <w:color w:val="000000"/>
                <w:sz w:val="24"/>
                <w:szCs w:val="24"/>
                <w:lang w:eastAsia="fr-FR"/>
              </w:rPr>
              <w:t xml:space="preserve"> </w:t>
            </w:r>
          </w:p>
        </w:tc>
        <w:tc>
          <w:tcPr>
            <w:tcW w:w="4512" w:type="dxa"/>
            <w:tcBorders>
              <w:top w:val="nil"/>
              <w:left w:val="nil"/>
              <w:bottom w:val="nil"/>
              <w:right w:val="nil"/>
            </w:tcBorders>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t xml:space="preserve">20 - 30 % </w:t>
            </w: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306C20">
              <w:rPr>
                <w:rFonts w:ascii="Times New Roman" w:eastAsia="Times New Roman" w:hAnsi="Times New Roman" w:cs="Times New Roman"/>
                <w:color w:val="000000"/>
                <w:sz w:val="24"/>
                <w:szCs w:val="24"/>
                <w:lang w:eastAsia="fr-FR"/>
              </w:rPr>
              <w:t>Fusobacterium</w:t>
            </w:r>
            <w:proofErr w:type="spellEnd"/>
            <w:r w:rsidRPr="00306C20">
              <w:rPr>
                <w:rFonts w:ascii="Times New Roman" w:eastAsia="Times New Roman" w:hAnsi="Times New Roman" w:cs="Times New Roman"/>
                <w:color w:val="000000"/>
                <w:sz w:val="24"/>
                <w:szCs w:val="24"/>
                <w:lang w:eastAsia="fr-FR"/>
              </w:rPr>
              <w:t xml:space="preserve">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306C20">
              <w:rPr>
                <w:rFonts w:ascii="Times New Roman" w:eastAsia="Times New Roman" w:hAnsi="Times New Roman" w:cs="Times New Roman"/>
                <w:color w:val="000000"/>
                <w:sz w:val="24"/>
                <w:szCs w:val="24"/>
                <w:lang w:eastAsia="fr-FR"/>
              </w:rPr>
              <w:t>Peptostreptococcus</w:t>
            </w:r>
            <w:proofErr w:type="spellEnd"/>
            <w:r w:rsidRPr="00306C20">
              <w:rPr>
                <w:rFonts w:ascii="Times New Roman" w:eastAsia="Times New Roman" w:hAnsi="Times New Roman" w:cs="Times New Roman"/>
                <w:color w:val="000000"/>
                <w:sz w:val="24"/>
                <w:szCs w:val="24"/>
                <w:lang w:eastAsia="fr-FR"/>
              </w:rPr>
              <w:t xml:space="preserve">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306C20">
              <w:rPr>
                <w:rFonts w:ascii="Times New Roman" w:eastAsia="Times New Roman" w:hAnsi="Times New Roman" w:cs="Times New Roman"/>
                <w:color w:val="000000"/>
                <w:sz w:val="24"/>
                <w:szCs w:val="24"/>
                <w:lang w:eastAsia="fr-FR"/>
              </w:rPr>
              <w:t>Porphyromonas</w:t>
            </w:r>
            <w:proofErr w:type="spellEnd"/>
            <w:r w:rsidRPr="00306C20">
              <w:rPr>
                <w:rFonts w:ascii="Times New Roman" w:eastAsia="Times New Roman" w:hAnsi="Times New Roman" w:cs="Times New Roman"/>
                <w:color w:val="000000"/>
                <w:sz w:val="24"/>
                <w:szCs w:val="24"/>
                <w:lang w:eastAsia="fr-FR"/>
              </w:rPr>
              <w:t xml:space="preserve">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306C20">
              <w:rPr>
                <w:rFonts w:ascii="Times New Roman" w:eastAsia="Times New Roman" w:hAnsi="Times New Roman" w:cs="Times New Roman"/>
                <w:color w:val="000000"/>
                <w:sz w:val="24"/>
                <w:szCs w:val="24"/>
                <w:lang w:eastAsia="fr-FR"/>
              </w:rPr>
              <w:t>Prevotella</w:t>
            </w:r>
            <w:proofErr w:type="spellEnd"/>
            <w:r w:rsidRPr="00306C20">
              <w:rPr>
                <w:rFonts w:ascii="Times New Roman" w:eastAsia="Times New Roman" w:hAnsi="Times New Roman" w:cs="Times New Roman"/>
                <w:color w:val="000000"/>
                <w:sz w:val="24"/>
                <w:szCs w:val="24"/>
                <w:lang w:eastAsia="fr-FR"/>
              </w:rPr>
              <w:t xml:space="preserve">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double" w:sz="12" w:space="0" w:color="auto"/>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306C20">
              <w:rPr>
                <w:rFonts w:ascii="Times New Roman" w:eastAsia="Times New Roman" w:hAnsi="Times New Roman" w:cs="Times New Roman"/>
                <w:color w:val="000000"/>
                <w:sz w:val="24"/>
                <w:szCs w:val="24"/>
                <w:lang w:eastAsia="fr-FR"/>
              </w:rPr>
              <w:t>Veillonella</w:t>
            </w:r>
            <w:proofErr w:type="spellEnd"/>
            <w:r w:rsidRPr="00306C20">
              <w:rPr>
                <w:rFonts w:ascii="Times New Roman" w:eastAsia="Times New Roman" w:hAnsi="Times New Roman" w:cs="Times New Roman"/>
                <w:color w:val="000000"/>
                <w:sz w:val="24"/>
                <w:szCs w:val="24"/>
                <w:lang w:eastAsia="fr-FR"/>
              </w:rPr>
              <w:t xml:space="preserve"> </w:t>
            </w:r>
          </w:p>
        </w:tc>
        <w:tc>
          <w:tcPr>
            <w:tcW w:w="4512" w:type="dxa"/>
            <w:tcBorders>
              <w:top w:val="nil"/>
              <w:left w:val="nil"/>
              <w:bottom w:val="double" w:sz="12" w:space="0" w:color="auto"/>
              <w:right w:val="single" w:sz="8" w:space="0" w:color="000000"/>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t xml:space="preserve">ESPÈCES RÉSISTANTES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t xml:space="preserve">Aérobies à Gram positif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306C20">
              <w:rPr>
                <w:rFonts w:ascii="Times New Roman" w:eastAsia="Times New Roman" w:hAnsi="Times New Roman" w:cs="Times New Roman"/>
                <w:color w:val="000000"/>
                <w:sz w:val="24"/>
                <w:szCs w:val="24"/>
                <w:lang w:eastAsia="fr-FR"/>
              </w:rPr>
              <w:t>Actinomyces</w:t>
            </w:r>
            <w:proofErr w:type="spellEnd"/>
            <w:r w:rsidRPr="00306C20">
              <w:rPr>
                <w:rFonts w:ascii="Times New Roman" w:eastAsia="Times New Roman" w:hAnsi="Times New Roman" w:cs="Times New Roman"/>
                <w:color w:val="000000"/>
                <w:sz w:val="24"/>
                <w:szCs w:val="24"/>
                <w:lang w:eastAsia="fr-FR"/>
              </w:rPr>
              <w:t xml:space="preserve">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t xml:space="preserve">Anaérobies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306C20">
              <w:rPr>
                <w:rFonts w:ascii="Times New Roman" w:eastAsia="Times New Roman" w:hAnsi="Times New Roman" w:cs="Times New Roman"/>
                <w:color w:val="000000"/>
                <w:sz w:val="24"/>
                <w:szCs w:val="24"/>
                <w:lang w:eastAsia="fr-FR"/>
              </w:rPr>
              <w:t>Mobiluncus</w:t>
            </w:r>
            <w:proofErr w:type="spellEnd"/>
            <w:r w:rsidRPr="00306C20">
              <w:rPr>
                <w:rFonts w:ascii="Times New Roman" w:eastAsia="Times New Roman" w:hAnsi="Times New Roman" w:cs="Times New Roman"/>
                <w:color w:val="000000"/>
                <w:sz w:val="24"/>
                <w:szCs w:val="24"/>
                <w:lang w:eastAsia="fr-FR"/>
              </w:rPr>
              <w:t xml:space="preserve">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single" w:sz="18" w:space="0" w:color="000000"/>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306C20">
              <w:rPr>
                <w:rFonts w:ascii="Times New Roman" w:eastAsia="Times New Roman" w:hAnsi="Times New Roman" w:cs="Times New Roman"/>
                <w:color w:val="000000"/>
                <w:sz w:val="24"/>
                <w:szCs w:val="24"/>
                <w:lang w:eastAsia="fr-FR"/>
              </w:rPr>
              <w:t>Propionibacterium</w:t>
            </w:r>
            <w:proofErr w:type="spellEnd"/>
            <w:r w:rsidRPr="00306C20">
              <w:rPr>
                <w:rFonts w:ascii="Times New Roman" w:eastAsia="Times New Roman" w:hAnsi="Times New Roman" w:cs="Times New Roman"/>
                <w:color w:val="000000"/>
                <w:sz w:val="24"/>
                <w:szCs w:val="24"/>
                <w:lang w:eastAsia="fr-FR"/>
              </w:rPr>
              <w:t xml:space="preserve"> </w:t>
            </w:r>
            <w:proofErr w:type="spellStart"/>
            <w:r w:rsidRPr="00306C20">
              <w:rPr>
                <w:rFonts w:ascii="Times New Roman" w:eastAsia="Times New Roman" w:hAnsi="Times New Roman" w:cs="Times New Roman"/>
                <w:color w:val="000000"/>
                <w:sz w:val="24"/>
                <w:szCs w:val="24"/>
                <w:lang w:eastAsia="fr-FR"/>
              </w:rPr>
              <w:t>acnes</w:t>
            </w:r>
            <w:proofErr w:type="spellEnd"/>
            <w:r w:rsidRPr="00306C20">
              <w:rPr>
                <w:rFonts w:ascii="Times New Roman" w:eastAsia="Times New Roman" w:hAnsi="Times New Roman" w:cs="Times New Roman"/>
                <w:color w:val="000000"/>
                <w:sz w:val="24"/>
                <w:szCs w:val="24"/>
                <w:lang w:eastAsia="fr-FR"/>
              </w:rPr>
              <w:t xml:space="preserve">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lastRenderedPageBreak/>
              <w:t xml:space="preserve">ACTIVITÉ ANTIPARASITAIRE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306C20">
              <w:rPr>
                <w:rFonts w:ascii="Times New Roman" w:eastAsia="Times New Roman" w:hAnsi="Times New Roman" w:cs="Times New Roman"/>
                <w:color w:val="000000"/>
                <w:sz w:val="24"/>
                <w:szCs w:val="24"/>
                <w:lang w:val="en-GB" w:eastAsia="fr-FR"/>
              </w:rPr>
              <w:t>Entamoeba</w:t>
            </w:r>
            <w:proofErr w:type="spellEnd"/>
            <w:r w:rsidRPr="00306C20">
              <w:rPr>
                <w:rFonts w:ascii="Times New Roman" w:eastAsia="Times New Roman" w:hAnsi="Times New Roman" w:cs="Times New Roman"/>
                <w:color w:val="000000"/>
                <w:sz w:val="24"/>
                <w:szCs w:val="24"/>
                <w:lang w:val="en-GB" w:eastAsia="fr-FR"/>
              </w:rPr>
              <w:t xml:space="preserve"> </w:t>
            </w:r>
            <w:proofErr w:type="spellStart"/>
            <w:r w:rsidRPr="00306C20">
              <w:rPr>
                <w:rFonts w:ascii="Times New Roman" w:eastAsia="Times New Roman" w:hAnsi="Times New Roman" w:cs="Times New Roman"/>
                <w:color w:val="000000"/>
                <w:sz w:val="24"/>
                <w:szCs w:val="24"/>
                <w:lang w:val="en-GB" w:eastAsia="fr-FR"/>
              </w:rPr>
              <w:t>histolytica</w:t>
            </w:r>
            <w:proofErr w:type="spellEnd"/>
            <w:r w:rsidRPr="00306C20">
              <w:rPr>
                <w:rFonts w:ascii="Times New Roman" w:eastAsia="Times New Roman" w:hAnsi="Times New Roman" w:cs="Times New Roman"/>
                <w:color w:val="000000"/>
                <w:sz w:val="24"/>
                <w:szCs w:val="24"/>
                <w:lang w:eastAsia="fr-FR"/>
              </w:rPr>
              <w:t xml:space="preserve">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nil"/>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proofErr w:type="spellStart"/>
            <w:r w:rsidRPr="00306C20">
              <w:rPr>
                <w:rFonts w:ascii="Times New Roman" w:eastAsia="Times New Roman" w:hAnsi="Times New Roman" w:cs="Times New Roman"/>
                <w:color w:val="000000"/>
                <w:sz w:val="24"/>
                <w:szCs w:val="24"/>
                <w:lang w:val="en-GB" w:eastAsia="fr-FR"/>
              </w:rPr>
              <w:t>Giardia</w:t>
            </w:r>
            <w:proofErr w:type="spellEnd"/>
            <w:r w:rsidRPr="00306C20">
              <w:rPr>
                <w:rFonts w:ascii="Times New Roman" w:eastAsia="Times New Roman" w:hAnsi="Times New Roman" w:cs="Times New Roman"/>
                <w:color w:val="000000"/>
                <w:sz w:val="24"/>
                <w:szCs w:val="24"/>
                <w:lang w:val="en-GB" w:eastAsia="fr-FR"/>
              </w:rPr>
              <w:t xml:space="preserve"> </w:t>
            </w:r>
            <w:proofErr w:type="spellStart"/>
            <w:r w:rsidRPr="00306C20">
              <w:rPr>
                <w:rFonts w:ascii="Times New Roman" w:eastAsia="Times New Roman" w:hAnsi="Times New Roman" w:cs="Times New Roman"/>
                <w:color w:val="000000"/>
                <w:sz w:val="24"/>
                <w:szCs w:val="24"/>
                <w:lang w:val="en-GB" w:eastAsia="fr-FR"/>
              </w:rPr>
              <w:t>intestinalis</w:t>
            </w:r>
            <w:proofErr w:type="spellEnd"/>
            <w:r w:rsidRPr="00306C20">
              <w:rPr>
                <w:rFonts w:ascii="Times New Roman" w:eastAsia="Times New Roman" w:hAnsi="Times New Roman" w:cs="Times New Roman"/>
                <w:color w:val="000000"/>
                <w:sz w:val="24"/>
                <w:szCs w:val="24"/>
                <w:lang w:eastAsia="fr-FR"/>
              </w:rPr>
              <w:t xml:space="preserve"> </w:t>
            </w:r>
          </w:p>
        </w:tc>
        <w:tc>
          <w:tcPr>
            <w:tcW w:w="4512" w:type="dxa"/>
            <w:tcBorders>
              <w:top w:val="nil"/>
              <w:left w:val="nil"/>
              <w:bottom w:val="nil"/>
              <w:right w:val="nil"/>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r w:rsidR="004B6E18" w:rsidRPr="00306C20" w:rsidTr="00947551">
        <w:trPr>
          <w:tblCellSpacing w:w="0" w:type="dxa"/>
          <w:jc w:val="center"/>
        </w:trPr>
        <w:tc>
          <w:tcPr>
            <w:tcW w:w="4560" w:type="dxa"/>
            <w:tcBorders>
              <w:top w:val="nil"/>
              <w:left w:val="single" w:sz="8" w:space="0" w:color="000000"/>
              <w:bottom w:val="single" w:sz="8" w:space="0" w:color="000000"/>
              <w:right w:val="single" w:sz="8" w:space="0" w:color="000000"/>
            </w:tcBorders>
            <w:shd w:val="clear" w:color="auto" w:fill="FFFFFF"/>
            <w:tcMar>
              <w:top w:w="0" w:type="dxa"/>
              <w:left w:w="117" w:type="dxa"/>
              <w:bottom w:w="0" w:type="dxa"/>
              <w:right w:w="117" w:type="dxa"/>
            </w:tcMar>
            <w:hideMark/>
          </w:tcPr>
          <w:p w:rsidR="00306C20" w:rsidRPr="00306C20" w:rsidRDefault="004B6E18" w:rsidP="00947551">
            <w:p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lang w:eastAsia="fr-FR"/>
              </w:rPr>
              <w:t xml:space="preserve">Trichomonas </w:t>
            </w:r>
            <w:proofErr w:type="spellStart"/>
            <w:r w:rsidRPr="00306C20">
              <w:rPr>
                <w:rFonts w:ascii="Times New Roman" w:eastAsia="Times New Roman" w:hAnsi="Times New Roman" w:cs="Times New Roman"/>
                <w:color w:val="000000"/>
                <w:sz w:val="24"/>
                <w:szCs w:val="24"/>
                <w:lang w:eastAsia="fr-FR"/>
              </w:rPr>
              <w:t>vaginalis</w:t>
            </w:r>
            <w:proofErr w:type="spellEnd"/>
            <w:r w:rsidRPr="00306C20">
              <w:rPr>
                <w:rFonts w:ascii="Times New Roman" w:eastAsia="Times New Roman" w:hAnsi="Times New Roman" w:cs="Times New Roman"/>
                <w:color w:val="000000"/>
                <w:sz w:val="24"/>
                <w:szCs w:val="24"/>
                <w:lang w:eastAsia="fr-FR"/>
              </w:rPr>
              <w:t xml:space="preserve"> </w:t>
            </w:r>
          </w:p>
        </w:tc>
        <w:tc>
          <w:tcPr>
            <w:tcW w:w="4512" w:type="dxa"/>
            <w:tcBorders>
              <w:top w:val="nil"/>
              <w:left w:val="nil"/>
              <w:bottom w:val="single" w:sz="8" w:space="0" w:color="000000"/>
              <w:right w:val="single" w:sz="8" w:space="0" w:color="000000"/>
            </w:tcBorders>
            <w:tcMar>
              <w:top w:w="0" w:type="dxa"/>
              <w:left w:w="117" w:type="dxa"/>
              <w:bottom w:w="0" w:type="dxa"/>
              <w:right w:w="117" w:type="dxa"/>
            </w:tcMar>
            <w:hideMark/>
          </w:tcPr>
          <w:p w:rsidR="004B6E18" w:rsidRPr="00306C20" w:rsidRDefault="004B6E18" w:rsidP="00947551">
            <w:pPr>
              <w:spacing w:after="240" w:line="240" w:lineRule="auto"/>
              <w:rPr>
                <w:rFonts w:ascii="Times New Roman" w:eastAsia="Times New Roman" w:hAnsi="Times New Roman" w:cs="Times New Roman"/>
                <w:color w:val="000000"/>
                <w:sz w:val="24"/>
                <w:szCs w:val="24"/>
                <w:lang w:eastAsia="fr-FR"/>
              </w:rPr>
            </w:pPr>
          </w:p>
        </w:tc>
      </w:tr>
    </w:tbl>
    <w:p w:rsidR="004B6E18" w:rsidRPr="00306C20" w:rsidRDefault="004B6E18" w:rsidP="004B6E18">
      <w:pPr>
        <w:spacing w:before="240" w:after="240" w:line="240" w:lineRule="auto"/>
        <w:rPr>
          <w:rFonts w:ascii="Times New Roman" w:eastAsia="Times New Roman" w:hAnsi="Times New Roman" w:cs="Times New Roman"/>
          <w:color w:val="000000"/>
          <w:sz w:val="24"/>
          <w:szCs w:val="24"/>
          <w:lang w:eastAsia="fr-FR"/>
        </w:rPr>
      </w:pPr>
      <w:r w:rsidRPr="00306C20">
        <w:rPr>
          <w:rFonts w:ascii="Times New Roman" w:eastAsia="Times New Roman" w:hAnsi="Times New Roman" w:cs="Times New Roman"/>
          <w:color w:val="000000"/>
          <w:sz w:val="24"/>
          <w:szCs w:val="24"/>
          <w:u w:val="single"/>
          <w:lang w:eastAsia="fr-FR"/>
        </w:rPr>
        <w:t>Remarque</w:t>
      </w:r>
      <w:r w:rsidRPr="00306C20">
        <w:rPr>
          <w:rFonts w:ascii="Times New Roman" w:eastAsia="Times New Roman" w:hAnsi="Times New Roman" w:cs="Times New Roman"/>
          <w:color w:val="000000"/>
          <w:sz w:val="24"/>
          <w:szCs w:val="24"/>
          <w:lang w:eastAsia="fr-FR"/>
        </w:rPr>
        <w:t xml:space="preserve"> : ce spectre correspond à celui des formes systémiques du </w:t>
      </w:r>
      <w:proofErr w:type="spellStart"/>
      <w:r w:rsidRPr="00306C20">
        <w:rPr>
          <w:rFonts w:ascii="Times New Roman" w:eastAsia="Times New Roman" w:hAnsi="Times New Roman" w:cs="Times New Roman"/>
          <w:color w:val="000000"/>
          <w:sz w:val="24"/>
          <w:szCs w:val="24"/>
          <w:lang w:eastAsia="fr-FR"/>
        </w:rPr>
        <w:t>métronidazole</w:t>
      </w:r>
      <w:proofErr w:type="spellEnd"/>
      <w:r w:rsidRPr="00306C20">
        <w:rPr>
          <w:rFonts w:ascii="Times New Roman" w:eastAsia="Times New Roman" w:hAnsi="Times New Roman" w:cs="Times New Roman"/>
          <w:color w:val="000000"/>
          <w:sz w:val="24"/>
          <w:szCs w:val="24"/>
          <w:lang w:eastAsia="fr-FR"/>
        </w:rPr>
        <w:t xml:space="preserve">. Avec les présentations pharmaceutiques locales, les concentrations obtenues </w:t>
      </w:r>
      <w:r w:rsidRPr="00306C20">
        <w:rPr>
          <w:rFonts w:ascii="Times New Roman" w:eastAsia="Times New Roman" w:hAnsi="Times New Roman" w:cs="Times New Roman"/>
          <w:i/>
          <w:iCs/>
          <w:color w:val="000000"/>
          <w:sz w:val="24"/>
          <w:szCs w:val="24"/>
          <w:lang w:eastAsia="fr-FR"/>
        </w:rPr>
        <w:t>in situ</w:t>
      </w:r>
      <w:r w:rsidRPr="00306C20">
        <w:rPr>
          <w:rFonts w:ascii="Times New Roman" w:eastAsia="Times New Roman" w:hAnsi="Times New Roman" w:cs="Times New Roman"/>
          <w:color w:val="000000"/>
          <w:sz w:val="24"/>
          <w:szCs w:val="24"/>
          <w:lang w:eastAsia="fr-FR"/>
        </w:rPr>
        <w:t xml:space="preserve"> sont très supérieures aux concentrations plasmatiques. Quelques incertitudes demeurent sur la cinétique des concentrations </w:t>
      </w:r>
      <w:r w:rsidRPr="00306C20">
        <w:rPr>
          <w:rFonts w:ascii="Times New Roman" w:eastAsia="Times New Roman" w:hAnsi="Times New Roman" w:cs="Times New Roman"/>
          <w:i/>
          <w:iCs/>
          <w:color w:val="000000"/>
          <w:sz w:val="24"/>
          <w:szCs w:val="24"/>
          <w:lang w:eastAsia="fr-FR"/>
        </w:rPr>
        <w:t>in situ</w:t>
      </w:r>
      <w:r w:rsidRPr="00306C20">
        <w:rPr>
          <w:rFonts w:ascii="Times New Roman" w:eastAsia="Times New Roman" w:hAnsi="Times New Roman" w:cs="Times New Roman"/>
          <w:color w:val="000000"/>
          <w:sz w:val="24"/>
          <w:szCs w:val="24"/>
          <w:lang w:eastAsia="fr-FR"/>
        </w:rPr>
        <w:t xml:space="preserve">, sur les conditions physico-chimiques locales qui peuvent modifier l'activité de l'antibiotique et sur la stabilité du produit </w:t>
      </w:r>
      <w:r w:rsidRPr="00306C20">
        <w:rPr>
          <w:rFonts w:ascii="Times New Roman" w:eastAsia="Times New Roman" w:hAnsi="Times New Roman" w:cs="Times New Roman"/>
          <w:i/>
          <w:iCs/>
          <w:color w:val="000000"/>
          <w:sz w:val="24"/>
          <w:szCs w:val="24"/>
          <w:lang w:eastAsia="fr-FR"/>
        </w:rPr>
        <w:t>in situ</w:t>
      </w:r>
      <w:r w:rsidRPr="00306C20">
        <w:rPr>
          <w:rFonts w:ascii="Times New Roman" w:eastAsia="Times New Roman" w:hAnsi="Times New Roman" w:cs="Times New Roman"/>
          <w:color w:val="000000"/>
          <w:sz w:val="24"/>
          <w:szCs w:val="24"/>
          <w:lang w:eastAsia="fr-FR"/>
        </w:rPr>
        <w:t xml:space="preserve">.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B6E18"/>
    <w:rsid w:val="00017B31"/>
    <w:rsid w:val="0006330F"/>
    <w:rsid w:val="0009769E"/>
    <w:rsid w:val="000C4178"/>
    <w:rsid w:val="00120A2B"/>
    <w:rsid w:val="00132903"/>
    <w:rsid w:val="001931B1"/>
    <w:rsid w:val="001A53D5"/>
    <w:rsid w:val="001B3E26"/>
    <w:rsid w:val="00282113"/>
    <w:rsid w:val="002D0F57"/>
    <w:rsid w:val="003164DC"/>
    <w:rsid w:val="0034030B"/>
    <w:rsid w:val="00370323"/>
    <w:rsid w:val="004276C2"/>
    <w:rsid w:val="004771A7"/>
    <w:rsid w:val="004B6E18"/>
    <w:rsid w:val="00521B28"/>
    <w:rsid w:val="005630AF"/>
    <w:rsid w:val="00587FAE"/>
    <w:rsid w:val="00610963"/>
    <w:rsid w:val="0062264F"/>
    <w:rsid w:val="00673C6F"/>
    <w:rsid w:val="006A4DC8"/>
    <w:rsid w:val="006D4445"/>
    <w:rsid w:val="0070624C"/>
    <w:rsid w:val="007628F0"/>
    <w:rsid w:val="0078077B"/>
    <w:rsid w:val="007A24F8"/>
    <w:rsid w:val="007A5B77"/>
    <w:rsid w:val="007E4829"/>
    <w:rsid w:val="008075EC"/>
    <w:rsid w:val="00816CD7"/>
    <w:rsid w:val="00841542"/>
    <w:rsid w:val="008D2D19"/>
    <w:rsid w:val="008F30B2"/>
    <w:rsid w:val="00911C5C"/>
    <w:rsid w:val="00915F11"/>
    <w:rsid w:val="00945368"/>
    <w:rsid w:val="009D77C6"/>
    <w:rsid w:val="00A85F40"/>
    <w:rsid w:val="00A93A8E"/>
    <w:rsid w:val="00AB3D3B"/>
    <w:rsid w:val="00B37108"/>
    <w:rsid w:val="00B53AA5"/>
    <w:rsid w:val="00BB2DA5"/>
    <w:rsid w:val="00C12BD3"/>
    <w:rsid w:val="00C22AEF"/>
    <w:rsid w:val="00C54779"/>
    <w:rsid w:val="00C60C3B"/>
    <w:rsid w:val="00C64100"/>
    <w:rsid w:val="00C75EA1"/>
    <w:rsid w:val="00D20E84"/>
    <w:rsid w:val="00D914B1"/>
    <w:rsid w:val="00DB398C"/>
    <w:rsid w:val="00DE34F8"/>
    <w:rsid w:val="00DF229A"/>
    <w:rsid w:val="00E651C1"/>
    <w:rsid w:val="00E869AE"/>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E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1718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2013-11-19T10:27:00Z</dcterms:created>
  <dcterms:modified xsi:type="dcterms:W3CDTF">2013-11-19T10:27:00Z</dcterms:modified>
</cp:coreProperties>
</file>